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2EA">
      <w:pPr>
        <w:rPr>
          <w:rFonts w:ascii="宋体" w:hAnsi="宋体" w:eastAsia="宋体"/>
          <w:b/>
          <w:bCs/>
          <w:color w:val="000000" w:themeColor="text1"/>
          <w14:textFill>
            <w14:solidFill>
              <w14:schemeClr w14:val="tx1"/>
            </w14:solidFill>
          </w14:textFill>
        </w:rPr>
      </w:pPr>
      <w:r>
        <w:rPr>
          <w:rFonts w:hint="eastAsia" w:ascii="宋体" w:hAnsi="宋体" w:cs="宋体"/>
          <w:b/>
          <w:bCs/>
          <w:szCs w:val="21"/>
          <w:lang w:eastAsia="zh-CN"/>
        </w:rPr>
        <w:t>附件</w:t>
      </w:r>
      <w:r>
        <w:rPr>
          <w:rFonts w:hint="eastAsia" w:ascii="宋体" w:hAnsi="宋体" w:cs="宋体"/>
          <w:b/>
          <w:bCs/>
          <w:szCs w:val="21"/>
          <w:lang w:val="en-US" w:eastAsia="zh-CN"/>
        </w:rPr>
        <w:t>1</w:t>
      </w:r>
      <w:r>
        <w:rPr>
          <w:rFonts w:hint="eastAsia" w:ascii="宋体" w:hAnsi="宋体" w:cs="宋体"/>
          <w:b/>
          <w:bCs/>
          <w:szCs w:val="21"/>
          <w:lang w:eastAsia="zh-CN"/>
        </w:rPr>
        <w:t>：多媒体视频和图片资源库参数</w:t>
      </w:r>
    </w:p>
    <w:p w14:paraId="345E8C8F">
      <w:pPr>
        <w:rPr>
          <w:rFonts w:ascii="宋体" w:hAnsi="宋体" w:eastAsia="宋体"/>
          <w:b/>
          <w:bCs/>
          <w:color w:val="000000" w:themeColor="text1"/>
          <w14:textFill>
            <w14:solidFill>
              <w14:schemeClr w14:val="tx1"/>
            </w14:solidFill>
          </w14:textFill>
        </w:rPr>
      </w:pPr>
      <w:r>
        <w:rPr>
          <w:rFonts w:hint="eastAsia"/>
          <w:b/>
          <w:bCs/>
        </w:rPr>
        <w:t>一、</w:t>
      </w:r>
      <w:r>
        <w:rPr>
          <w:b/>
          <w:bCs/>
        </w:rPr>
        <w:t>网上报告厅技术参数</w:t>
      </w:r>
      <w:r>
        <w:rPr>
          <w:b/>
          <w:bCs/>
        </w:rPr>
        <w:br w:type="textWrapping"/>
      </w:r>
    </w:p>
    <w:p w14:paraId="0D51BBA0">
      <w:pP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1、提供的平台应以读者综合素质提升为产品理念，其所有应用功能应按照读者的使用兴趣与习惯进行设计，并与全面的、有效的提升读者专业素质和综合素养的视频学习资源相结合。</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2、为适应不同年龄读者学习，视频资源应包含以读者综合素质培养为核心的集基本素养、外在素养以及文化素质于一体的“学术鉴赏”和专业性的“学术报告”两大资源板块。</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3、其中“学术鉴赏”部分应包括对话、探索发现、军事系列、旅游地理等4个系列，资源总计不少于4000篇；“学术报告”部分包括党政系列、法律视点、教育培训、经管系列、就业择业、理工系列、农林系列、体育系列、外语学习、文史系列、心理健康、医学系列、营销系列、综合素质等14个系列内容，资源总计不少于2</w:t>
      </w: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000篇；</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4、提供产品的wap版本，用于图书馆现有和微信挂接阅读应用和app的无缝连接嵌入使用</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5、安装数量不低于3600篇，总容量不低于400G。</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6、提供的视频格式为mp4流媒体格式，支持本地缓存播放。外网访问的视频数据标准应达到1920*1080分辨率、视频923kb、音频是96kb以上；本地镜像的视频数据标准应达到1920*1080分辨率、视频923kb、音频是96kb以上；</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7、平台应针对不同角色的用户，进行个性化的信息管理，提供个人中心功能。</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8、平台应提供资源共享功能。资源共享支持用户自主上传视频，并为用户的自有资源提供播放和传播条件，为优质、时效性强的报告提供快捷、高效的传播方式。</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9、pc端在线服务的视频应包含视频、片段截取、点赞、收藏、用手机看、分享、写笔记记录学习点滴、课程概述简介、AI视频解读、学习笔记、授课讲师简介、视频章节及相关课程等内容，方便用户找到核心内容，快速吸收知识点，还应提供</w:t>
      </w:r>
      <w:bookmarkStart w:id="0" w:name="_GoBack"/>
      <w:bookmarkEnd w:id="0"/>
      <w:r>
        <w:rPr>
          <w:rFonts w:ascii="宋体" w:hAnsi="宋体" w:eastAsia="宋体"/>
          <w:color w:val="000000" w:themeColor="text1"/>
          <w14:textFill>
            <w14:solidFill>
              <w14:schemeClr w14:val="tx1"/>
            </w14:solidFill>
          </w14:textFill>
        </w:rPr>
        <w:t>笔记、一键分享及在线评论等功能。</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10、平台应提供简单检索、高级检索和知识点检索功能。用户可通过对视频名称、名师、视频简介进行单一或组合检索操作，高效、系统地检索出匹配内容来进行点击学习；用户也可根据学习需要在“知识点检索”界面对相关知识点词汇进行点选进而进入相应视频学习。</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、平台应具备数据加密技术，以保证视频资源的安全性，防止视频课程被非法传播。必须有自行拍摄研发课程的能力，能提供课程定制服务。</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、能够提供同步的小程序阅读方式挂接图书馆的微信公众号服务使用。</w:t>
      </w:r>
    </w:p>
    <w:p w14:paraId="166F4B77">
      <w:pPr>
        <w:rPr>
          <w:rFonts w:hint="eastAsia"/>
        </w:rPr>
      </w:pPr>
    </w:p>
    <w:p w14:paraId="3A55433F">
      <w:pPr>
        <w:rPr>
          <w:rFonts w:hint="eastAsia"/>
        </w:rPr>
      </w:pPr>
      <w:r>
        <w:rPr>
          <w:rFonts w:hint="eastAsia"/>
          <w:b/>
          <w:bCs/>
        </w:rPr>
        <w:t>二、少儿多媒体图书馆技术参数</w:t>
      </w:r>
      <w:r>
        <w:rPr>
          <w:b/>
          <w:bCs/>
        </w:rPr>
        <w:br w:type="textWrapping"/>
      </w:r>
    </w:p>
    <w:p w14:paraId="092399B7">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少儿多媒体图书馆视频数据库服务要求提供高清视频、乐高课程、绘本视频、中小学微课、科普动画、国学绘本高清科普教育视频在线服务。资源在线包库服务内容主要包括：国学文化、科普百科、艺术培养、中小课堂、益智互动、家校共育、绘声绘色；人群维度包含：0-3岁、3-6岁、6-15岁、家长、老师等；合同期间内在线包库服务的总量不少于16000集，在线服务容量不少于1TB。</w:t>
      </w:r>
    </w:p>
    <w:p w14:paraId="35CCB5DB">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国学文化包含启笠翁对韵、趣味学知、千字文、三字经、论语、道德经 、唐诗、经典诗词方面的资源内容。</w:t>
      </w:r>
    </w:p>
    <w:p w14:paraId="09696B21">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科普百科包含植物乐园、探索自然、奇趣动物、科学实验室、历史科技、人体奥秘、生活科普方面的资源内容。</w:t>
      </w:r>
    </w:p>
    <w:p w14:paraId="2C3F78ED">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艺术培养包含口才语言、绘画室、音乐厅、舞蹈室、书法方面的资源内容。</w:t>
      </w:r>
    </w:p>
    <w:p w14:paraId="1A0EEED2">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中小课堂应当包含幼小、初中、阅读指导、课外延伸方面的资源内容。</w:t>
      </w:r>
    </w:p>
    <w:p w14:paraId="49ECB625">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益智互动：应当包含神奇巧手、嗨学互动、手脑训练、动画动漫方面的资源内容。</w:t>
      </w:r>
    </w:p>
    <w:p w14:paraId="19148AB3">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数据库中能够提供包含教师培养、教学探究、幼师教案、父母聚焦、父母课堂、育儿知识等相关的数据资源。父母课堂包含：特殊儿童、文化辅导、生活指导、健康教育、家庭教育；育儿知识包含：0-36月分级育儿科普视频；父母聚焦包含家教资讯、父母必读，幼师教育类包含小班教案、大班教案，教师培养类包含理论教学、保教方法、职业准则，教学探索类包含教育解读、管理政策。</w:t>
      </w:r>
    </w:p>
    <w:p w14:paraId="4419C606">
      <w:pPr>
        <w:numPr>
          <w:ilvl w:val="0"/>
          <w:numId w:val="1"/>
        </w:numPr>
        <w:adjustRightInd w:val="0"/>
        <w:snapToGrid w:val="0"/>
        <w:spacing w:line="276" w:lineRule="auto"/>
        <w:rPr>
          <w:rFonts w:hint="eastAsia" w:ascii="宋体" w:hAnsi="宋体"/>
        </w:rPr>
      </w:pPr>
      <w:r>
        <w:rPr>
          <w:rFonts w:hint="eastAsia" w:ascii="宋体" w:hAnsi="宋体"/>
        </w:rPr>
        <w:t>数据库中绘本类能够提供包含绘导读、绘阅读、绘创意、绘语文、绘英语、绘动手等相关的数据资源。</w:t>
      </w:r>
    </w:p>
    <w:p w14:paraId="2BCEBB95">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 xml:space="preserve">要求幼小分类包含：包含小学英语、小学数学、小学语文、名著导读、安全教育、体育课堂等相关的数据资源， </w:t>
      </w:r>
    </w:p>
    <w:p w14:paraId="34FF1015">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要求投标供应商必须提供h</w:t>
      </w:r>
      <w:r>
        <w:rPr>
          <w:rFonts w:ascii="宋体" w:hAnsi="宋体"/>
        </w:rPr>
        <w:t>5</w:t>
      </w:r>
      <w:r>
        <w:rPr>
          <w:rFonts w:hint="eastAsia" w:ascii="宋体" w:hAnsi="宋体"/>
        </w:rPr>
        <w:t>版、微信小程序版、pc版、触控版合计4个版本的服务支撑，支持与图书馆的用户身份统一认证系统对接，图书馆持证读者无需二次注册即可使用平台。</w:t>
      </w:r>
    </w:p>
    <w:p w14:paraId="3818BE03">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要求供应商提供的小程序版能够提供小程序版的活动服务平台服务，以便图书馆后期针对本库内容进行线上活动推广服务。</w:t>
      </w:r>
    </w:p>
    <w:p w14:paraId="283E3E66">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资源格式为MP4、格式，点播速度快，即点即播、无延迟、随意拖动无停止。本地镜像的视频数据标准应达到 1024*768分辨率、25帧、视频781kb、音频是64kb 以上，提供服务器宽带管理、文件码率输出管理，分布式服务器配置、负载条件和均衡调度策略管理。</w:t>
      </w:r>
    </w:p>
    <w:p w14:paraId="76ECA991">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数据库使用范围包括图书馆及采购人分馆及其重点服务机构；必须投标商授权使用范围内的图书馆可在其单位内部网上不计检索次数、流量使用数据库及为读者提供信息服务，数据平台无并发用户数限制。投标商所提供的数据库也可采用包括平板电脑、MP4、手机等移动设备进行访问。</w:t>
      </w:r>
    </w:p>
    <w:p w14:paraId="703209B2">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投标人需支持图书馆项目配套的远程认证系统，允许用户远程认证访问。配合图书馆项目的统一检索；配合图书馆项目配套的APP、微信端及小程序等形式的接入服务；配合图书馆项目开发、整合等需求，提供相应的接口及技术支持服务。</w:t>
      </w:r>
    </w:p>
    <w:p w14:paraId="4AAAF2C4">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配合图书馆完成指定的线上和线下活动阅读活动服务量。</w:t>
      </w:r>
    </w:p>
    <w:p w14:paraId="1B3021D9">
      <w:pPr>
        <w:pStyle w:val="30"/>
        <w:numPr>
          <w:ilvl w:val="0"/>
          <w:numId w:val="1"/>
        </w:numPr>
        <w:adjustRightInd w:val="0"/>
        <w:snapToGrid w:val="0"/>
        <w:spacing w:line="276" w:lineRule="auto"/>
        <w:contextualSpacing w:val="0"/>
        <w:rPr>
          <w:rFonts w:hint="eastAsia" w:ascii="宋体" w:hAnsi="宋体"/>
        </w:rPr>
      </w:pPr>
      <w:r>
        <w:rPr>
          <w:rFonts w:hint="eastAsia" w:ascii="宋体" w:hAnsi="宋体"/>
        </w:rPr>
        <w:t>不定期的少儿多媒体图书馆数据库的热点推文，图书馆能直接使用，并承诺保证无版权风险。</w:t>
      </w:r>
    </w:p>
    <w:p w14:paraId="7B8126F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46410"/>
    <w:multiLevelType w:val="multilevel"/>
    <w:tmpl w:val="608464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10"/>
    <w:rsid w:val="00000AAE"/>
    <w:rsid w:val="00141B47"/>
    <w:rsid w:val="00210D36"/>
    <w:rsid w:val="004E51B7"/>
    <w:rsid w:val="00997A68"/>
    <w:rsid w:val="00AE3910"/>
    <w:rsid w:val="00B67F46"/>
    <w:rsid w:val="00C824E2"/>
    <w:rsid w:val="00D75E4C"/>
    <w:rsid w:val="00DA15DD"/>
    <w:rsid w:val="00DF4833"/>
    <w:rsid w:val="00EC14C0"/>
    <w:rsid w:val="00EE617F"/>
    <w:rsid w:val="0BD0230A"/>
    <w:rsid w:val="15F90B5A"/>
    <w:rsid w:val="2F32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2111</Words>
  <Characters>2205</Characters>
  <Lines>38</Lines>
  <Paragraphs>22</Paragraphs>
  <TotalTime>3</TotalTime>
  <ScaleCrop>false</ScaleCrop>
  <LinksUpToDate>false</LinksUpToDate>
  <CharactersWithSpaces>2209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2025-11-17T08:00:00Z</dcterms:created>
  <dc:creator>逢年 吴</dc:creator>
  <cp:lastModifiedBy>wang</cp:lastModifiedBy>
  <dcterms:modified xsi:type="dcterms:W3CDTF">2025-12-03T08:37:15Z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eyJoZGlkIjoiZTBmYTliZGM3MzgxNjk2YmUzMjQzZjYxY2U5ZDViZmQiLCJ1c2VySWQiOiI1MzQ5OTY1NjIifQ==</vt:lpwstr>
  </property>
  <property fmtid="{D5CDD505-2E9C-101B-9397-08002B2CF9AE}" pid="3" name="KSOProductBuildVer">
    <vt:lpwstr>2052-12.1.0.23542</vt:lpwstr>
  </property>
  <property fmtid="{D5CDD505-2E9C-101B-9397-08002B2CF9AE}" pid="4" name="ICV">
    <vt:lpwstr>A95D5BBB1C3E491D815C3E503869047C_12</vt:lpwstr>
  </property>
</Properties>
</file>